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7F0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4FBE0795" w14:textId="77777777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4835C961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527B5771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0D675A5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1E6C34DA" w14:textId="36BEB237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554E2D" w:rsidRPr="00F70D6B">
        <w:rPr>
          <w:sz w:val="24"/>
          <w:szCs w:val="24"/>
        </w:rPr>
        <w:t>14</w:t>
      </w:r>
      <w:r w:rsidR="00B00FFB" w:rsidRPr="009957DA">
        <w:rPr>
          <w:sz w:val="24"/>
          <w:szCs w:val="24"/>
        </w:rPr>
        <w:t xml:space="preserve">» </w:t>
      </w:r>
      <w:r w:rsidR="0071059D">
        <w:rPr>
          <w:sz w:val="24"/>
          <w:szCs w:val="24"/>
        </w:rPr>
        <w:t>апреля</w:t>
      </w:r>
      <w:r w:rsidR="00B00FFB" w:rsidRPr="009957DA">
        <w:rPr>
          <w:sz w:val="24"/>
          <w:szCs w:val="24"/>
        </w:rPr>
        <w:t xml:space="preserve"> 20</w:t>
      </w:r>
      <w:r w:rsidR="00554E2D">
        <w:rPr>
          <w:sz w:val="24"/>
          <w:szCs w:val="24"/>
        </w:rPr>
        <w:t>20</w:t>
      </w:r>
      <w:r w:rsidR="00B00FFB" w:rsidRPr="009957DA">
        <w:rPr>
          <w:sz w:val="24"/>
          <w:szCs w:val="24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СРЕДИ БАНКОВ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77777777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02168034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 xml:space="preserve">Приказом </w:t>
      </w:r>
      <w:proofErr w:type="spellStart"/>
      <w:r w:rsidR="00554E2D">
        <w:rPr>
          <w:sz w:val="24"/>
          <w:szCs w:val="24"/>
        </w:rPr>
        <w:t>и.о</w:t>
      </w:r>
      <w:proofErr w:type="spellEnd"/>
      <w:r w:rsidR="00554E2D">
        <w:rPr>
          <w:sz w:val="24"/>
          <w:szCs w:val="24"/>
        </w:rPr>
        <w:t>.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04640552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24DF1341" w14:textId="656F7285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 w:rsidR="00554E2D"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 w:rsidR="00554E2D"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 w:rsidR="00554E2D"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 w:rsidR="00554E2D"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1CF25EC3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192A1085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положительного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7DC88233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1037CE19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7EA5A64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49A88D8" w14:textId="4443A3FC"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37808A21" w14:textId="263300A5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93FEEA6" w14:textId="2FDF3AA4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04B34E45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6DCE591F" w14:textId="532F2BC9"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b/>
          <w:bCs/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="00483D68" w:rsidRPr="00966994">
        <w:rPr>
          <w:sz w:val="24"/>
          <w:szCs w:val="24"/>
        </w:rPr>
        <w:t>"</w:t>
      </w:r>
      <w:r w:rsidR="00483D68" w:rsidRPr="00483D68">
        <w:rPr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="00483D68" w:rsidRPr="00966994">
        <w:rPr>
          <w:sz w:val="24"/>
          <w:szCs w:val="24"/>
        </w:rPr>
        <w:t>"</w:t>
      </w:r>
      <w:r w:rsidR="00483D68">
        <w:rPr>
          <w:sz w:val="24"/>
          <w:szCs w:val="24"/>
        </w:rPr>
        <w:t xml:space="preserve"> </w:t>
      </w:r>
      <w:r w:rsidR="00483D68" w:rsidRPr="00966994">
        <w:rPr>
          <w:sz w:val="24"/>
          <w:szCs w:val="24"/>
        </w:rPr>
        <w:t>(утв. Банком России 27.02.2017 N 579-П)</w:t>
      </w:r>
      <w:r w:rsidR="00483D68">
        <w:rPr>
          <w:sz w:val="24"/>
          <w:szCs w:val="24"/>
        </w:rPr>
        <w:t xml:space="preserve"> </w:t>
      </w:r>
      <w:r w:rsidR="00483D68" w:rsidRPr="007221D6">
        <w:rPr>
          <w:sz w:val="24"/>
          <w:szCs w:val="24"/>
        </w:rPr>
        <w:t>(</w:t>
      </w:r>
      <w:r w:rsidR="00483D68" w:rsidRPr="00483D68">
        <w:rPr>
          <w:bCs/>
          <w:sz w:val="24"/>
          <w:szCs w:val="24"/>
        </w:rPr>
        <w:t>ред. от 28.02.2019</w:t>
      </w:r>
      <w:r w:rsidR="00483D68"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14:paraId="203DF2F9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9F05EA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28654066" w:rsidR="008F26C9" w:rsidRDefault="008F26C9" w:rsidP="008F26C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2DCA3DEA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71059D">
        <w:rPr>
          <w:sz w:val="24"/>
          <w:szCs w:val="24"/>
        </w:rPr>
        <w:t>5</w:t>
      </w:r>
      <w:r w:rsidR="00E559D6">
        <w:rPr>
          <w:sz w:val="24"/>
          <w:szCs w:val="24"/>
        </w:rPr>
        <w:t xml:space="preserve"> (</w:t>
      </w:r>
      <w:r w:rsidR="0071059D">
        <w:rPr>
          <w:sz w:val="24"/>
          <w:szCs w:val="24"/>
        </w:rPr>
        <w:t>Пяти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77777777" w:rsidR="00B17082" w:rsidRPr="0082069E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29BA38C0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07C0F" w:rsidRPr="00807C0F">
        <w:rPr>
          <w:sz w:val="24"/>
          <w:szCs w:val="24"/>
        </w:rPr>
        <w:t>Указание</w:t>
      </w:r>
      <w:r w:rsidR="00807C0F">
        <w:rPr>
          <w:sz w:val="24"/>
          <w:szCs w:val="24"/>
        </w:rPr>
        <w:t>м</w:t>
      </w:r>
      <w:r w:rsidR="00807C0F" w:rsidRPr="00807C0F">
        <w:rPr>
          <w:sz w:val="24"/>
          <w:szCs w:val="24"/>
        </w:rPr>
        <w:t xml:space="preserve"> Банка России от 08.10.2018 N 4927-У (ред. от 20.11.2019)</w:t>
      </w:r>
      <w:r w:rsidR="009A3E27" w:rsidRPr="009A3E27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07C0F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7F6154" w14:textId="77777777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510720">
        <w:rPr>
          <w:sz w:val="24"/>
          <w:szCs w:val="24"/>
        </w:rPr>
        <w:t xml:space="preserve"> (за исключением буллита 4 п.3.1,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77777777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021ABE">
        <w:rPr>
          <w:sz w:val="24"/>
          <w:szCs w:val="24"/>
        </w:rPr>
        <w:t>22</w:t>
      </w:r>
      <w:r w:rsidR="000B79DF">
        <w:rPr>
          <w:sz w:val="24"/>
          <w:szCs w:val="24"/>
        </w:rPr>
        <w:t>4</w:t>
      </w:r>
      <w:r w:rsidR="00021ABE">
        <w:rPr>
          <w:sz w:val="24"/>
          <w:szCs w:val="24"/>
        </w:rPr>
        <w:t> </w:t>
      </w:r>
      <w:r w:rsidR="000B79DF">
        <w:rPr>
          <w:sz w:val="24"/>
          <w:szCs w:val="24"/>
        </w:rPr>
        <w:t>485 640,00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>Двести двадцать</w:t>
      </w:r>
      <w:r w:rsidR="00021ABE" w:rsidRPr="005038C4">
        <w:rPr>
          <w:sz w:val="24"/>
          <w:szCs w:val="24"/>
        </w:rPr>
        <w:t xml:space="preserve"> </w:t>
      </w:r>
      <w:r w:rsidR="000B79DF">
        <w:rPr>
          <w:sz w:val="24"/>
          <w:szCs w:val="24"/>
        </w:rPr>
        <w:t>четыре миллиона четыреста восемьдесят пять тысяч шестьсот сорок рублей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2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lastRenderedPageBreak/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 xml:space="preserve">копия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proofErr w:type="gramStart"/>
      <w:r w:rsidRPr="009957DA">
        <w:rPr>
          <w:sz w:val="24"/>
          <w:szCs w:val="24"/>
        </w:rPr>
        <w:t xml:space="preserve">сохранность </w:t>
      </w:r>
      <w:r w:rsidR="002B4ED8" w:rsidRPr="009957DA">
        <w:rPr>
          <w:sz w:val="24"/>
          <w:szCs w:val="24"/>
        </w:rPr>
        <w:t xml:space="preserve"> предложений</w:t>
      </w:r>
      <w:proofErr w:type="gramEnd"/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77777777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proofErr w:type="gramStart"/>
      <w:r w:rsidR="007A596D" w:rsidRPr="008F26C9">
        <w:rPr>
          <w:sz w:val="24"/>
          <w:szCs w:val="24"/>
        </w:rPr>
        <w:t xml:space="preserve">проведении </w:t>
      </w:r>
      <w:r w:rsidR="00DB2D6B" w:rsidRPr="008F26C9">
        <w:rPr>
          <w:sz w:val="24"/>
          <w:szCs w:val="24"/>
        </w:rPr>
        <w:t xml:space="preserve"> </w:t>
      </w:r>
      <w:r w:rsidR="003F7518" w:rsidRPr="008F26C9">
        <w:rPr>
          <w:sz w:val="24"/>
          <w:szCs w:val="24"/>
        </w:rPr>
        <w:t>отбора</w:t>
      </w:r>
      <w:proofErr w:type="gramEnd"/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</w:t>
      </w:r>
      <w:r w:rsidRPr="009957DA">
        <w:rPr>
          <w:sz w:val="24"/>
          <w:szCs w:val="24"/>
        </w:rPr>
        <w:lastRenderedPageBreak/>
        <w:t xml:space="preserve">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12957560" w14:textId="7777777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среди банков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076B760" w14:textId="77777777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 xml:space="preserve">приказом </w:t>
      </w:r>
      <w:proofErr w:type="spellStart"/>
      <w:r w:rsidR="000B79DF">
        <w:rPr>
          <w:sz w:val="18"/>
          <w:szCs w:val="18"/>
        </w:rPr>
        <w:t>и.о</w:t>
      </w:r>
      <w:proofErr w:type="spellEnd"/>
      <w:r w:rsidR="000B79DF">
        <w:rPr>
          <w:sz w:val="18"/>
          <w:szCs w:val="18"/>
        </w:rPr>
        <w:t>. 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4565CA25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D08D956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786A7AA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6B885926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807C0F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71059D">
        <w:rPr>
          <w:sz w:val="18"/>
          <w:szCs w:val="18"/>
        </w:rPr>
        <w:t>апреля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1A9357BC" w14:textId="77777777" w:rsidR="00A5561C" w:rsidRPr="00286E5F" w:rsidRDefault="00A5561C" w:rsidP="00A5561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21997D9F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18750AB1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5D27D82E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5C9D392C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16A72C5F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№5:</w:t>
      </w:r>
      <w:r>
        <w:rPr>
          <w:sz w:val="24"/>
          <w:szCs w:val="24"/>
        </w:rPr>
        <w:tab/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265DF4C2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7D836B73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35BE04BA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№8:</w:t>
      </w:r>
      <w:r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55C8276A" w14:textId="77777777" w:rsidR="00A5561C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№9:</w:t>
      </w:r>
      <w:r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7A9CF129" w14:textId="77777777" w:rsidR="00A5561C" w:rsidRPr="00F81B6A" w:rsidRDefault="00A5561C" w:rsidP="00A5561C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№10:</w:t>
      </w:r>
      <w:r>
        <w:rPr>
          <w:sz w:val="24"/>
          <w:szCs w:val="24"/>
        </w:rPr>
        <w:tab/>
        <w:t>391 400,00 (Триста девяносто одна тысяча четыреста) рублей.</w:t>
      </w:r>
    </w:p>
    <w:p w14:paraId="71DCA20F" w14:textId="77777777" w:rsidR="00A5561C" w:rsidRPr="00B9161E" w:rsidRDefault="00A5561C" w:rsidP="00A5561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95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Девяносто 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38421681" w14:textId="77777777" w:rsidR="00A5561C" w:rsidRPr="00B9161E" w:rsidRDefault="00A5561C" w:rsidP="00A5561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5A6632D8" w14:textId="77777777" w:rsidR="00A5561C" w:rsidRPr="00B9161E" w:rsidRDefault="00A5561C" w:rsidP="00A5561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29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DB97C76" w14:textId="77777777" w:rsidR="00A5561C" w:rsidRPr="00B9161E" w:rsidRDefault="00A5561C" w:rsidP="00A5561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15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FE8753C" w14:textId="77777777" w:rsidR="00A5561C" w:rsidRDefault="00A5561C" w:rsidP="00A5561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29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3E66BBE" w14:textId="77777777" w:rsidR="00A5561C" w:rsidRPr="009957DA" w:rsidRDefault="00A5561C" w:rsidP="00A5561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79C0360E" w14:textId="77777777" w:rsidR="00A5561C" w:rsidRPr="009957DA" w:rsidRDefault="00A5561C" w:rsidP="00A5561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 Фонда Салюков Ян Александрович</w:t>
      </w:r>
      <w:r w:rsidRPr="009957DA">
        <w:rPr>
          <w:sz w:val="24"/>
          <w:szCs w:val="24"/>
        </w:rPr>
        <w:t>.</w:t>
      </w:r>
    </w:p>
    <w:p w14:paraId="4530BD19" w14:textId="5DE6B5B7" w:rsidR="0071059D" w:rsidRDefault="00A5561C" w:rsidP="00A5561C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9D33F85" w14:textId="77777777" w:rsidR="0071059D" w:rsidRDefault="0071059D" w:rsidP="0071059D">
      <w:pPr>
        <w:jc w:val="both"/>
        <w:rPr>
          <w:sz w:val="24"/>
          <w:szCs w:val="24"/>
        </w:rPr>
      </w:pPr>
    </w:p>
    <w:p w14:paraId="3838D08C" w14:textId="77777777" w:rsidR="0071059D" w:rsidRDefault="0071059D" w:rsidP="0071059D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76A54ED1" w:rsidR="007A596D" w:rsidRPr="00993353" w:rsidRDefault="0071059D" w:rsidP="0071059D">
      <w:pPr>
        <w:overflowPunct/>
        <w:ind w:firstLine="709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  <w:r w:rsidR="007A596D"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1B6D83" w14:textId="77777777" w:rsidR="00A5561C" w:rsidRDefault="00A5561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0C28DFB9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CFB3E8A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1D22A4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212CE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FC51A8C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57984B5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88F4AAF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C30DBA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5638D2EA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807C0F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71059D">
        <w:rPr>
          <w:sz w:val="18"/>
          <w:szCs w:val="18"/>
        </w:rPr>
        <w:t>апреля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</w:t>
      </w:r>
      <w:proofErr w:type="gramStart"/>
      <w:r w:rsidRPr="009957DA">
        <w:rPr>
          <w:sz w:val="18"/>
          <w:szCs w:val="18"/>
        </w:rPr>
        <w:t>,  должность</w:t>
      </w:r>
      <w:proofErr w:type="gramEnd"/>
      <w:r w:rsidRPr="009957DA">
        <w:rPr>
          <w:sz w:val="18"/>
          <w:szCs w:val="18"/>
        </w:rPr>
        <w:t xml:space="preserve">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08CD324A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лицензии Банка России на осуществление банковской деятельности;</w:t>
      </w:r>
    </w:p>
    <w:p w14:paraId="430EF628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3"/>
      </w:r>
      <w:r w:rsidRPr="009957DA">
        <w:rPr>
          <w:sz w:val="24"/>
          <w:szCs w:val="24"/>
        </w:rPr>
        <w:t xml:space="preserve">; </w:t>
      </w:r>
    </w:p>
    <w:p w14:paraId="30063BFE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положительного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7A38427B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5B5B6643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5C6F02A9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</w:t>
      </w:r>
      <w:r w:rsidRPr="00CD6EED">
        <w:rPr>
          <w:sz w:val="24"/>
          <w:szCs w:val="24"/>
        </w:rPr>
        <w:lastRenderedPageBreak/>
        <w:t>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29C603EF" w14:textId="1CC635AF" w:rsidR="00CD6EED" w:rsidRPr="007221D6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2C91A8F0" w14:textId="5C203D6E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B0AD31B" w14:textId="745D150E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="00483D68" w:rsidRPr="00483D68">
        <w:rPr>
          <w:bCs/>
          <w:sz w:val="24"/>
          <w:szCs w:val="24"/>
        </w:rPr>
        <w:t>Инструкци</w:t>
      </w:r>
      <w:r w:rsidR="00483D68">
        <w:rPr>
          <w:bCs/>
          <w:sz w:val="24"/>
          <w:szCs w:val="24"/>
        </w:rPr>
        <w:t>ей</w:t>
      </w:r>
      <w:r w:rsidR="00483D68" w:rsidRPr="00483D68">
        <w:rPr>
          <w:bCs/>
          <w:sz w:val="24"/>
          <w:szCs w:val="24"/>
        </w:rPr>
        <w:t xml:space="preserve"> Банка России от 29.11.2019 N 199-И</w:t>
      </w:r>
      <w:r w:rsidR="00483D68">
        <w:rPr>
          <w:bCs/>
          <w:sz w:val="24"/>
          <w:szCs w:val="24"/>
        </w:rPr>
        <w:t xml:space="preserve"> </w:t>
      </w:r>
      <w:r w:rsidR="00483D68"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9519D6F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6B117115" w14:textId="7BF09D83" w:rsidR="00CD6EED" w:rsidRPr="00483D68" w:rsidRDefault="00CD6EED" w:rsidP="00483D68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Pr="00966994">
        <w:rPr>
          <w:sz w:val="24"/>
          <w:szCs w:val="24"/>
        </w:rPr>
        <w:t>"</w:t>
      </w:r>
      <w:r w:rsidR="00483D68" w:rsidRPr="00483D68">
        <w:rPr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Pr="00966994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966994">
        <w:rPr>
          <w:sz w:val="24"/>
          <w:szCs w:val="24"/>
        </w:rPr>
        <w:t>(утв. Банком России 27.02.2017 N 579-П)</w:t>
      </w:r>
      <w:r>
        <w:rPr>
          <w:sz w:val="24"/>
          <w:szCs w:val="24"/>
        </w:rPr>
        <w:t xml:space="preserve"> </w:t>
      </w:r>
      <w:r w:rsidRPr="007221D6">
        <w:rPr>
          <w:sz w:val="24"/>
          <w:szCs w:val="24"/>
        </w:rPr>
        <w:t>(</w:t>
      </w:r>
      <w:r w:rsidR="00483D68" w:rsidRPr="00483D68">
        <w:rPr>
          <w:bCs/>
          <w:sz w:val="24"/>
          <w:szCs w:val="24"/>
        </w:rPr>
        <w:t>ред. от 28.02.2019</w:t>
      </w:r>
      <w:r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14:paraId="172C1098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085424E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634D6ED2" w14:textId="624D33AF" w:rsidR="00CD6EED" w:rsidRDefault="00CD6EED" w:rsidP="00EA25A2">
      <w:pPr>
        <w:overflowPunct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2CA148E1" w14:textId="31A3DD85" w:rsidR="000C528B" w:rsidRPr="000C528B" w:rsidRDefault="000C528B" w:rsidP="000C528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 xml:space="preserve">- 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993353">
        <w:rPr>
          <w:sz w:val="24"/>
          <w:szCs w:val="24"/>
        </w:rPr>
        <w:t xml:space="preserve">не менее </w:t>
      </w:r>
      <w:r w:rsidR="0071059D">
        <w:rPr>
          <w:sz w:val="24"/>
          <w:szCs w:val="24"/>
        </w:rPr>
        <w:t>5</w:t>
      </w:r>
      <w:r w:rsidR="00993353">
        <w:rPr>
          <w:sz w:val="24"/>
          <w:szCs w:val="24"/>
        </w:rPr>
        <w:t xml:space="preserve"> (</w:t>
      </w:r>
      <w:r w:rsidR="0071059D">
        <w:rPr>
          <w:sz w:val="24"/>
          <w:szCs w:val="24"/>
        </w:rPr>
        <w:t>Пяти</w:t>
      </w:r>
      <w:r w:rsidR="00993353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</w:t>
      </w:r>
      <w:r w:rsidR="00FC33D4" w:rsidRPr="000C528B">
        <w:rPr>
          <w:sz w:val="24"/>
          <w:szCs w:val="24"/>
        </w:rPr>
        <w:t xml:space="preserve">поручительством организатора </w:t>
      </w:r>
      <w:r w:rsidR="00FC708E">
        <w:rPr>
          <w:sz w:val="24"/>
          <w:szCs w:val="24"/>
        </w:rPr>
        <w:t>отбора</w:t>
      </w:r>
      <w:r w:rsidR="00FC33D4" w:rsidRPr="000C528B">
        <w:rPr>
          <w:sz w:val="24"/>
          <w:szCs w:val="24"/>
        </w:rPr>
        <w:t>,</w:t>
      </w:r>
      <w:r w:rsidRPr="000C528B">
        <w:rPr>
          <w:sz w:val="24"/>
          <w:szCs w:val="24"/>
        </w:rPr>
        <w:t xml:space="preserve">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77777777" w:rsidR="00B17082" w:rsidRPr="00EE42CF" w:rsidRDefault="00CD6EED" w:rsidP="000C528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0C528B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352C34C1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(ред. от 20.11.2019)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DB8E45" w14:textId="77777777" w:rsidR="00FE0714" w:rsidRPr="009957DA" w:rsidRDefault="00510720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 xml:space="preserve"> (за исключением буллита 4 п.3.1,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</w:t>
      </w:r>
      <w:r w:rsidRPr="009957DA">
        <w:rPr>
          <w:sz w:val="24"/>
          <w:szCs w:val="24"/>
        </w:rPr>
        <w:lastRenderedPageBreak/>
        <w:t>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19C6B743" w14:textId="77777777" w:rsidR="0071656F" w:rsidRDefault="0071656F" w:rsidP="000F1066">
      <w:pPr>
        <w:tabs>
          <w:tab w:val="left" w:pos="-5103"/>
        </w:tabs>
        <w:rPr>
          <w:sz w:val="18"/>
          <w:szCs w:val="18"/>
        </w:rPr>
      </w:pPr>
    </w:p>
    <w:p w14:paraId="7771483F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4FEDA0F5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6A44AB72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3E99C25E" w14:textId="21D974C8" w:rsidR="00993353" w:rsidRDefault="00993353" w:rsidP="00483D68">
      <w:pPr>
        <w:tabs>
          <w:tab w:val="left" w:pos="-5103"/>
        </w:tabs>
        <w:rPr>
          <w:sz w:val="18"/>
          <w:szCs w:val="18"/>
        </w:rPr>
      </w:pPr>
    </w:p>
    <w:p w14:paraId="2E61CFE9" w14:textId="77777777" w:rsidR="00483D68" w:rsidRDefault="00483D68" w:rsidP="00483D68">
      <w:pPr>
        <w:tabs>
          <w:tab w:val="left" w:pos="-5103"/>
        </w:tabs>
        <w:rPr>
          <w:sz w:val="18"/>
          <w:szCs w:val="18"/>
        </w:rPr>
      </w:pPr>
    </w:p>
    <w:p w14:paraId="2BC27467" w14:textId="77777777" w:rsidR="003B2BC1" w:rsidRDefault="003B2BC1" w:rsidP="00E61BD6">
      <w:pPr>
        <w:tabs>
          <w:tab w:val="left" w:pos="-5103"/>
        </w:tabs>
        <w:rPr>
          <w:sz w:val="18"/>
          <w:szCs w:val="18"/>
        </w:rPr>
      </w:pPr>
    </w:p>
    <w:p w14:paraId="5DF86E9B" w14:textId="77777777" w:rsidR="00E61BD6" w:rsidRDefault="00E61BD6" w:rsidP="00E61BD6">
      <w:pPr>
        <w:tabs>
          <w:tab w:val="left" w:pos="-5103"/>
        </w:tabs>
        <w:rPr>
          <w:sz w:val="18"/>
          <w:szCs w:val="18"/>
        </w:rPr>
      </w:pPr>
    </w:p>
    <w:p w14:paraId="7C6A7172" w14:textId="77777777" w:rsidR="00A5561C" w:rsidRDefault="00A5561C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12450200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2226918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8A247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49AD679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3322AA70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3F1534B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C153E7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564865C2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483D68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71059D">
        <w:rPr>
          <w:sz w:val="18"/>
          <w:szCs w:val="18"/>
        </w:rPr>
        <w:t>апреля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1.3. Коммерческое предложение оформляется на русском языке, шрифтом </w:t>
      </w:r>
      <w:proofErr w:type="spellStart"/>
      <w:r w:rsidRPr="009957DA">
        <w:rPr>
          <w:sz w:val="24"/>
          <w:szCs w:val="24"/>
        </w:rPr>
        <w:t>Times</w:t>
      </w:r>
      <w:proofErr w:type="spellEnd"/>
      <w:r w:rsidRPr="009957DA">
        <w:rPr>
          <w:sz w:val="24"/>
          <w:szCs w:val="24"/>
        </w:rPr>
        <w:t xml:space="preserve"> </w:t>
      </w:r>
      <w:proofErr w:type="spellStart"/>
      <w:r w:rsidRPr="009957DA">
        <w:rPr>
          <w:sz w:val="24"/>
          <w:szCs w:val="24"/>
        </w:rPr>
        <w:t>New</w:t>
      </w:r>
      <w:proofErr w:type="spellEnd"/>
      <w:r w:rsidRPr="009957DA">
        <w:rPr>
          <w:sz w:val="24"/>
          <w:szCs w:val="24"/>
        </w:rPr>
        <w:t xml:space="preserve"> </w:t>
      </w:r>
      <w:proofErr w:type="spellStart"/>
      <w:r w:rsidRPr="009957DA">
        <w:rPr>
          <w:sz w:val="24"/>
          <w:szCs w:val="24"/>
        </w:rPr>
        <w:t>Roman</w:t>
      </w:r>
      <w:proofErr w:type="spellEnd"/>
      <w:r w:rsidRPr="009957DA">
        <w:rPr>
          <w:sz w:val="24"/>
          <w:szCs w:val="24"/>
        </w:rPr>
        <w:t xml:space="preserve"> или </w:t>
      </w:r>
      <w:proofErr w:type="spellStart"/>
      <w:r w:rsidRPr="009957DA">
        <w:rPr>
          <w:sz w:val="24"/>
          <w:szCs w:val="24"/>
        </w:rPr>
        <w:t>Arial</w:t>
      </w:r>
      <w:proofErr w:type="spellEnd"/>
      <w:r w:rsidRPr="009957DA">
        <w:rPr>
          <w:sz w:val="24"/>
          <w:szCs w:val="24"/>
        </w:rPr>
        <w:t xml:space="preserve">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083D7BF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56D1FD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66B46EF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1C8D11C6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AEF8F53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35A5E6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0A884BCC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1059D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71059D">
        <w:rPr>
          <w:sz w:val="18"/>
          <w:szCs w:val="18"/>
        </w:rPr>
        <w:t>апреля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 xml:space="preserve">Наличие положительного аудиторского заключения по итогам работы за предыдущий год, а также </w:t>
            </w:r>
            <w:proofErr w:type="spellStart"/>
            <w:r w:rsidRPr="00AA4CD7">
              <w:rPr>
                <w:sz w:val="20"/>
              </w:rPr>
              <w:t>аудированной</w:t>
            </w:r>
            <w:proofErr w:type="spellEnd"/>
            <w:r w:rsidRPr="00AA4CD7">
              <w:rPr>
                <w:sz w:val="20"/>
              </w:rPr>
              <w:t xml:space="preserve">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77777777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4CF985B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7C49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Доля негосударственных ценных бумаг, взвешенных по уровню риска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8FD53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43B0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992C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42721E06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71059D">
              <w:rPr>
                <w:sz w:val="20"/>
              </w:rPr>
              <w:t>5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F13117A" w14:textId="77777777" w:rsidR="008C4162" w:rsidRDefault="008C4162" w:rsidP="00EA25A2">
      <w:pPr>
        <w:tabs>
          <w:tab w:val="left" w:pos="-5103"/>
        </w:tabs>
        <w:rPr>
          <w:sz w:val="24"/>
          <w:szCs w:val="24"/>
        </w:rPr>
      </w:pPr>
    </w:p>
    <w:p w14:paraId="099241FA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AF9C054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6A542C4E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77777777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t>Приложение № 5</w:t>
      </w:r>
    </w:p>
    <w:p w14:paraId="11AC5D3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976F811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5417704D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223C28C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78F5C00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6D47C9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688C852B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483D68">
        <w:rPr>
          <w:sz w:val="18"/>
          <w:szCs w:val="18"/>
        </w:rPr>
        <w:t>14</w:t>
      </w:r>
      <w:r w:rsidRPr="007B60DA">
        <w:rPr>
          <w:sz w:val="18"/>
          <w:szCs w:val="18"/>
        </w:rPr>
        <w:t xml:space="preserve">» </w:t>
      </w:r>
      <w:r w:rsidR="0071059D">
        <w:rPr>
          <w:sz w:val="18"/>
          <w:szCs w:val="18"/>
        </w:rPr>
        <w:t>апреля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0"/>
      <w:headerReference w:type="default" r:id="rId11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501E" w14:textId="77777777" w:rsidR="00B24205" w:rsidRDefault="00B24205">
      <w:r>
        <w:separator/>
      </w:r>
    </w:p>
  </w:endnote>
  <w:endnote w:type="continuationSeparator" w:id="0">
    <w:p w14:paraId="0820370E" w14:textId="77777777" w:rsidR="00B24205" w:rsidRDefault="00B2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7EA7" w14:textId="77777777" w:rsidR="00B24205" w:rsidRDefault="00B24205">
      <w:r>
        <w:separator/>
      </w:r>
    </w:p>
  </w:footnote>
  <w:footnote w:type="continuationSeparator" w:id="0">
    <w:p w14:paraId="6131C12D" w14:textId="77777777" w:rsidR="00B24205" w:rsidRDefault="00B24205">
      <w:r>
        <w:continuationSeparator/>
      </w:r>
    </w:p>
  </w:footnote>
  <w:footnote w:id="1">
    <w:p w14:paraId="1290A2FB" w14:textId="77777777" w:rsidR="008F26C9" w:rsidRDefault="008F26C9" w:rsidP="008F26C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3">
    <w:p w14:paraId="2C8D918B" w14:textId="77777777" w:rsidR="00CD6EED" w:rsidRDefault="00CD6EED" w:rsidP="00CD6EED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0946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27BF"/>
    <w:rsid w:val="0034458E"/>
    <w:rsid w:val="00351B4A"/>
    <w:rsid w:val="00360A0F"/>
    <w:rsid w:val="00365F4B"/>
    <w:rsid w:val="00371D75"/>
    <w:rsid w:val="00393A51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EB1"/>
    <w:rsid w:val="00445F16"/>
    <w:rsid w:val="004468CD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4E2D"/>
    <w:rsid w:val="00555A89"/>
    <w:rsid w:val="005607D1"/>
    <w:rsid w:val="00561982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59D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D0139"/>
    <w:rsid w:val="007E2B01"/>
    <w:rsid w:val="007F20E4"/>
    <w:rsid w:val="007F549C"/>
    <w:rsid w:val="007F5BD3"/>
    <w:rsid w:val="008011E6"/>
    <w:rsid w:val="00801CF0"/>
    <w:rsid w:val="00801D85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5561C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24205"/>
    <w:rsid w:val="00B30220"/>
    <w:rsid w:val="00B318A7"/>
    <w:rsid w:val="00B40856"/>
    <w:rsid w:val="00B46802"/>
    <w:rsid w:val="00B53E0E"/>
    <w:rsid w:val="00B56DDE"/>
    <w:rsid w:val="00B61FD6"/>
    <w:rsid w:val="00B649BB"/>
    <w:rsid w:val="00B71730"/>
    <w:rsid w:val="00B83C0F"/>
    <w:rsid w:val="00B94AA9"/>
    <w:rsid w:val="00B97A7C"/>
    <w:rsid w:val="00BA20A8"/>
    <w:rsid w:val="00BA301D"/>
    <w:rsid w:val="00BA4A84"/>
    <w:rsid w:val="00BB0193"/>
    <w:rsid w:val="00BC5B88"/>
    <w:rsid w:val="00BC69B2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3034FE-38AE-4303-9FB0-E96D2EB1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35270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5</cp:revision>
  <cp:lastPrinted>2017-09-07T08:19:00Z</cp:lastPrinted>
  <dcterms:created xsi:type="dcterms:W3CDTF">2020-02-14T11:26:00Z</dcterms:created>
  <dcterms:modified xsi:type="dcterms:W3CDTF">2020-04-15T05:55:00Z</dcterms:modified>
</cp:coreProperties>
</file>