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74B47" w14:textId="77777777"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14:paraId="61AFC6F8" w14:textId="77777777" w:rsidR="00351B4A" w:rsidRPr="005A5497" w:rsidRDefault="000B79D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</w:t>
      </w:r>
      <w:r w:rsidR="001A618B" w:rsidRPr="009957DA">
        <w:rPr>
          <w:sz w:val="24"/>
          <w:szCs w:val="24"/>
        </w:rPr>
        <w:t xml:space="preserve"> </w:t>
      </w:r>
    </w:p>
    <w:p w14:paraId="2F7112AE" w14:textId="77777777"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14:paraId="1FE656FC" w14:textId="77777777"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14:paraId="62A3B6BF" w14:textId="77777777"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14:paraId="3DA695E1" w14:textId="52C70D6E"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7928D3">
        <w:rPr>
          <w:sz w:val="24"/>
          <w:szCs w:val="24"/>
        </w:rPr>
        <w:t>04</w:t>
      </w:r>
      <w:r w:rsidR="00B00FFB" w:rsidRPr="009957DA">
        <w:rPr>
          <w:sz w:val="24"/>
          <w:szCs w:val="24"/>
        </w:rPr>
        <w:t xml:space="preserve">» </w:t>
      </w:r>
      <w:r w:rsidR="007928D3">
        <w:rPr>
          <w:sz w:val="24"/>
          <w:szCs w:val="24"/>
        </w:rPr>
        <w:t>декабря</w:t>
      </w:r>
      <w:r w:rsidR="00B00FFB" w:rsidRPr="009957DA">
        <w:rPr>
          <w:sz w:val="24"/>
          <w:szCs w:val="24"/>
        </w:rPr>
        <w:t xml:space="preserve"> 201</w:t>
      </w:r>
      <w:r w:rsidR="00A7161E">
        <w:rPr>
          <w:sz w:val="24"/>
          <w:szCs w:val="24"/>
        </w:rPr>
        <w:t>9</w:t>
      </w:r>
      <w:r w:rsidR="00B00FFB" w:rsidRPr="009957DA">
        <w:rPr>
          <w:sz w:val="24"/>
          <w:szCs w:val="24"/>
        </w:rPr>
        <w:t xml:space="preserve"> г.</w:t>
      </w:r>
    </w:p>
    <w:p w14:paraId="3AD0A012" w14:textId="77777777"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099A961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14:paraId="5203DC15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14:paraId="791EF68E" w14:textId="77777777"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14:paraId="33E59920" w14:textId="77777777"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14:paraId="0A303E10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14:paraId="77C9B2B1" w14:textId="77777777"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14:paraId="0FD92A10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14:paraId="192F61BC" w14:textId="77777777"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49C52C6F" w14:textId="77777777"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14:paraId="2C466E93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14:paraId="250CC57C" w14:textId="77777777"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7600F5D8" w14:textId="77777777"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DE44A78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14:paraId="5A099FC1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E4297DD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14:paraId="1BC8D094" w14:textId="77777777"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банк,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14:paraId="01F688B3" w14:textId="77777777"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14:paraId="69E6E0B7" w14:textId="77777777"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14:paraId="5947B455" w14:textId="77777777"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proofErr w:type="gramStart"/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2A0D70" w:rsidRPr="009957DA">
        <w:rPr>
          <w:sz w:val="24"/>
          <w:szCs w:val="24"/>
        </w:rPr>
        <w:t xml:space="preserve"> предложений</w:t>
      </w:r>
      <w:proofErr w:type="gramEnd"/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2EDE0848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14:paraId="16F07F1C" w14:textId="77777777"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14:paraId="23491D8E" w14:textId="77777777"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14:paraId="46FF95E5" w14:textId="77777777"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14:paraId="56264CB4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16597F6B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14:paraId="0279E02D" w14:textId="77777777"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proofErr w:type="gramStart"/>
      <w:r w:rsidR="00404416" w:rsidRPr="009957DA">
        <w:rPr>
          <w:sz w:val="24"/>
          <w:szCs w:val="24"/>
        </w:rPr>
        <w:t>Состав  комиссии</w:t>
      </w:r>
      <w:proofErr w:type="gramEnd"/>
      <w:r w:rsidR="00404416" w:rsidRPr="009957DA">
        <w:rPr>
          <w:sz w:val="24"/>
          <w:szCs w:val="24"/>
        </w:rPr>
        <w:t xml:space="preserve"> утверждается </w:t>
      </w:r>
      <w:r w:rsidR="00CB17C9" w:rsidRPr="009957DA">
        <w:rPr>
          <w:sz w:val="24"/>
          <w:szCs w:val="24"/>
        </w:rPr>
        <w:t>Наблюдательным</w:t>
      </w:r>
      <w:r w:rsidR="00404416" w:rsidRPr="009957DA">
        <w:rPr>
          <w:sz w:val="24"/>
          <w:szCs w:val="24"/>
        </w:rPr>
        <w:t xml:space="preserve"> советом Фонда.</w:t>
      </w:r>
    </w:p>
    <w:p w14:paraId="1899C996" w14:textId="77777777"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14:paraId="5ED72B8D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14:paraId="7FAEA991" w14:textId="77777777"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14:paraId="6AAC2EB6" w14:textId="77777777"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14:paraId="6A88F2E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14:paraId="22DA77C2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2311509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14:paraId="2000BFA8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57C54B26" w14:textId="77777777"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банки, соответствующие следующим обязательным требованиям:</w:t>
      </w:r>
    </w:p>
    <w:p w14:paraId="46E0D6B5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14:paraId="3A99B8CB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14:paraId="365311D3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2BDF8978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39A994D0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39BECFB2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6832BB39" w14:textId="77777777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1C71F5">
        <w:rPr>
          <w:bCs/>
          <w:sz w:val="24"/>
          <w:szCs w:val="24"/>
        </w:rPr>
        <w:t xml:space="preserve">Инструкция Банка России от 28.06.2017 N 180-И </w:t>
      </w:r>
      <w:r w:rsidRPr="007221D6">
        <w:rPr>
          <w:bCs/>
          <w:sz w:val="24"/>
          <w:szCs w:val="24"/>
        </w:rPr>
        <w:t xml:space="preserve">(ред. от 26.07.2018) </w:t>
      </w:r>
      <w:r w:rsidRPr="007221D6">
        <w:rPr>
          <w:sz w:val="24"/>
          <w:szCs w:val="24"/>
        </w:rPr>
        <w:t>"Об обязательных нормативах банков";</w:t>
      </w:r>
    </w:p>
    <w:p w14:paraId="7D45788F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>
        <w:rPr>
          <w:sz w:val="24"/>
          <w:szCs w:val="24"/>
        </w:rPr>
        <w:t>О</w:t>
      </w:r>
      <w:r w:rsidRPr="00AB3DF1">
        <w:rPr>
          <w:sz w:val="24"/>
          <w:szCs w:val="24"/>
        </w:rPr>
        <w:t>б обязательных нормативах банков"</w:t>
      </w:r>
      <w:r w:rsidRPr="009957DA">
        <w:rPr>
          <w:sz w:val="24"/>
          <w:szCs w:val="24"/>
        </w:rPr>
        <w:t>;</w:t>
      </w:r>
    </w:p>
    <w:p w14:paraId="6D2EF3A4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 w:rsidRPr="001C71F5">
        <w:rPr>
          <w:sz w:val="24"/>
          <w:szCs w:val="24"/>
        </w:rPr>
        <w:t>Об обязательных нормативах банков</w:t>
      </w:r>
      <w:r w:rsidRPr="00AB3DF1">
        <w:rPr>
          <w:sz w:val="24"/>
          <w:szCs w:val="24"/>
        </w:rPr>
        <w:t>"</w:t>
      </w:r>
      <w:r w:rsidRPr="009957DA">
        <w:rPr>
          <w:sz w:val="24"/>
          <w:szCs w:val="24"/>
        </w:rPr>
        <w:t>;</w:t>
      </w:r>
    </w:p>
    <w:p w14:paraId="3D45D7C9" w14:textId="77777777"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3B740194" w14:textId="77777777"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"Положение</w:t>
      </w:r>
      <w:r>
        <w:rPr>
          <w:sz w:val="24"/>
          <w:szCs w:val="24"/>
        </w:rPr>
        <w:t>м</w:t>
      </w:r>
      <w:r w:rsidRPr="00966994">
        <w:rPr>
          <w:sz w:val="24"/>
          <w:szCs w:val="24"/>
        </w:rPr>
        <w:t xml:space="preserve"> о Плане счетов бухгалтерского учета для кредитных организаций и порядке его применения"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Pr="007221D6">
        <w:rPr>
          <w:bCs/>
          <w:sz w:val="24"/>
          <w:szCs w:val="24"/>
        </w:rPr>
        <w:t>ред. от 15.02.2018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6C6D5026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38A8A34A" w14:textId="77777777"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388D0D7F" w14:textId="77777777" w:rsidR="008F26C9" w:rsidRDefault="008F26C9" w:rsidP="008F26C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 (</w:t>
      </w:r>
      <w:r>
        <w:rPr>
          <w:sz w:val="24"/>
          <w:szCs w:val="24"/>
        </w:rPr>
        <w:t>ред. от 01.07.2018</w:t>
      </w:r>
      <w:r w:rsidRPr="0054176A">
        <w:rPr>
          <w:sz w:val="24"/>
          <w:szCs w:val="24"/>
        </w:rPr>
        <w:t>);</w:t>
      </w:r>
    </w:p>
    <w:p w14:paraId="164BA325" w14:textId="2D7B7436"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</w:t>
      </w:r>
      <w:r w:rsidR="007A3C67">
        <w:rPr>
          <w:sz w:val="24"/>
          <w:szCs w:val="24"/>
        </w:rPr>
        <w:t>5</w:t>
      </w:r>
      <w:r w:rsidR="00E559D6">
        <w:rPr>
          <w:sz w:val="24"/>
          <w:szCs w:val="24"/>
        </w:rPr>
        <w:t xml:space="preserve"> (</w:t>
      </w:r>
      <w:r w:rsidR="007A3C67">
        <w:rPr>
          <w:sz w:val="24"/>
          <w:szCs w:val="24"/>
        </w:rPr>
        <w:t>Пяти</w:t>
      </w:r>
      <w:bookmarkStart w:id="0" w:name="_GoBack"/>
      <w:bookmarkEnd w:id="0"/>
      <w:r w:rsidR="00E559D6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6EBE8C65" w14:textId="77777777" w:rsidR="00B17082" w:rsidRPr="0082069E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1F1CE33F" w14:textId="77777777"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9A3E27" w:rsidRPr="009A3E27">
        <w:rPr>
          <w:sz w:val="24"/>
          <w:szCs w:val="24"/>
        </w:rPr>
        <w:t xml:space="preserve">Указание Банка России от 24.11.2016 </w:t>
      </w:r>
      <w:r w:rsidR="00F91F89">
        <w:rPr>
          <w:sz w:val="24"/>
          <w:szCs w:val="24"/>
        </w:rPr>
        <w:t>№</w:t>
      </w:r>
      <w:r w:rsidR="009A3E27" w:rsidRPr="009A3E27">
        <w:rPr>
          <w:sz w:val="24"/>
          <w:szCs w:val="24"/>
        </w:rPr>
        <w:t xml:space="preserve"> 4212-У (ред. от 06.12.2017) </w:t>
      </w:r>
      <w:r w:rsidR="006806C1">
        <w:rPr>
          <w:sz w:val="24"/>
          <w:szCs w:val="24"/>
        </w:rPr>
        <w:t>«</w:t>
      </w:r>
      <w:r w:rsidR="009A3E27" w:rsidRPr="009A3E27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</w:t>
      </w:r>
      <w:r w:rsidR="006806C1">
        <w:rPr>
          <w:sz w:val="24"/>
          <w:szCs w:val="24"/>
        </w:rPr>
        <w:t>»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3246B8BC" w14:textId="77777777"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 w:rsidR="00510720"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Pr="009957DA">
        <w:rPr>
          <w:sz w:val="24"/>
          <w:szCs w:val="24"/>
        </w:rPr>
        <w:t>.</w:t>
      </w:r>
    </w:p>
    <w:p w14:paraId="5E29DDC2" w14:textId="77777777"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</w:t>
      </w:r>
      <w:r w:rsidR="00021ABE">
        <w:rPr>
          <w:sz w:val="24"/>
          <w:szCs w:val="24"/>
        </w:rPr>
        <w:t>22</w:t>
      </w:r>
      <w:r w:rsidR="000B79DF">
        <w:rPr>
          <w:sz w:val="24"/>
          <w:szCs w:val="24"/>
        </w:rPr>
        <w:t>4</w:t>
      </w:r>
      <w:r w:rsidR="00021ABE">
        <w:rPr>
          <w:sz w:val="24"/>
          <w:szCs w:val="24"/>
        </w:rPr>
        <w:t> </w:t>
      </w:r>
      <w:r w:rsidR="000B79DF">
        <w:rPr>
          <w:sz w:val="24"/>
          <w:szCs w:val="24"/>
        </w:rPr>
        <w:t>485 640,00</w:t>
      </w:r>
      <w:r w:rsidR="00021ABE" w:rsidRPr="005038C4">
        <w:rPr>
          <w:sz w:val="24"/>
          <w:szCs w:val="24"/>
        </w:rPr>
        <w:t xml:space="preserve"> (</w:t>
      </w:r>
      <w:r w:rsidR="00021ABE">
        <w:rPr>
          <w:sz w:val="24"/>
          <w:szCs w:val="24"/>
        </w:rPr>
        <w:t>Двести двадцать</w:t>
      </w:r>
      <w:r w:rsidR="00021ABE" w:rsidRPr="005038C4">
        <w:rPr>
          <w:sz w:val="24"/>
          <w:szCs w:val="24"/>
        </w:rPr>
        <w:t xml:space="preserve"> </w:t>
      </w:r>
      <w:r w:rsidR="000B79DF">
        <w:rPr>
          <w:sz w:val="24"/>
          <w:szCs w:val="24"/>
        </w:rPr>
        <w:t>четыре миллиона четыреста восемьдесят пять тысяч шестьсот сорок рублей</w:t>
      </w:r>
      <w:r w:rsidR="00021ABE" w:rsidRPr="005038C4">
        <w:rPr>
          <w:sz w:val="24"/>
          <w:szCs w:val="24"/>
        </w:rPr>
        <w:t>)</w:t>
      </w:r>
      <w:r w:rsidRPr="005038C4">
        <w:rPr>
          <w:sz w:val="24"/>
          <w:szCs w:val="24"/>
        </w:rPr>
        <w:t xml:space="preserve">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2"/>
      </w:r>
      <w:r w:rsidRPr="005038C4">
        <w:rPr>
          <w:sz w:val="24"/>
          <w:szCs w:val="24"/>
        </w:rPr>
        <w:t>.</w:t>
      </w:r>
    </w:p>
    <w:p w14:paraId="072D5709" w14:textId="77777777"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14:paraId="7170BBE6" w14:textId="77777777"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0CE55946" w14:textId="77777777"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14:paraId="559E8980" w14:textId="77777777"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3E0DE0BF" w14:textId="77777777"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14:paraId="3573D2C8" w14:textId="77777777"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376A22DD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14:paraId="7DC85AD0" w14:textId="77777777"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14:paraId="0A50D84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5A86A377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7A39ED7C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14:paraId="1B58A569" w14:textId="77777777"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 xml:space="preserve">копия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14:paraId="32CE6E42" w14:textId="77777777"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14:paraId="3468ADE6" w14:textId="77777777"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14:paraId="2EE414D1" w14:textId="77777777"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14:paraId="7EFF5B9B" w14:textId="77777777"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14:paraId="256A46AA" w14:textId="77777777"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14:paraId="7925BD3F" w14:textId="77777777"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14:paraId="37DA23C1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469A8558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14:paraId="30FA5FD4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14:paraId="103B2036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14:paraId="474F6313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</w:t>
      </w:r>
      <w:proofErr w:type="gramStart"/>
      <w:r w:rsidRPr="009957DA">
        <w:rPr>
          <w:sz w:val="24"/>
          <w:szCs w:val="24"/>
        </w:rPr>
        <w:t xml:space="preserve">сохранность </w:t>
      </w:r>
      <w:r w:rsidR="002B4ED8" w:rsidRPr="009957DA">
        <w:rPr>
          <w:sz w:val="24"/>
          <w:szCs w:val="24"/>
        </w:rPr>
        <w:t xml:space="preserve"> предложений</w:t>
      </w:r>
      <w:proofErr w:type="gramEnd"/>
      <w:r w:rsidR="002B4ED8" w:rsidRPr="009957DA">
        <w:rPr>
          <w:sz w:val="24"/>
          <w:szCs w:val="24"/>
        </w:rPr>
        <w:t xml:space="preserve">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4B98B73A" w14:textId="77777777"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14:paraId="3CBA186B" w14:textId="77777777"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14:paraId="4A478D5F" w14:textId="77777777"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14:paraId="360760CF" w14:textId="77777777"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5419C33C" w14:textId="77777777"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</w:t>
      </w:r>
      <w:proofErr w:type="gramStart"/>
      <w:r w:rsidR="007A596D" w:rsidRPr="008F26C9">
        <w:rPr>
          <w:sz w:val="24"/>
          <w:szCs w:val="24"/>
        </w:rPr>
        <w:t xml:space="preserve">проведении </w:t>
      </w:r>
      <w:r w:rsidR="00DB2D6B" w:rsidRPr="008F26C9">
        <w:rPr>
          <w:sz w:val="24"/>
          <w:szCs w:val="24"/>
        </w:rPr>
        <w:t xml:space="preserve"> </w:t>
      </w:r>
      <w:r w:rsidR="003F7518" w:rsidRPr="008F26C9">
        <w:rPr>
          <w:sz w:val="24"/>
          <w:szCs w:val="24"/>
        </w:rPr>
        <w:t>отбора</w:t>
      </w:r>
      <w:proofErr w:type="gramEnd"/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 xml:space="preserve">на </w:t>
      </w:r>
      <w:r w:rsidR="00B649BB">
        <w:rPr>
          <w:sz w:val="24"/>
          <w:szCs w:val="24"/>
        </w:rPr>
        <w:lastRenderedPageBreak/>
        <w:t>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14:paraId="7B63AD0F" w14:textId="77777777"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14:paraId="39F3179A" w14:textId="77777777"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14:paraId="3DDD523A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6EA84865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14:paraId="48EE35EA" w14:textId="77777777"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</w:t>
      </w:r>
      <w:proofErr w:type="gramStart"/>
      <w:r w:rsidR="007C2644" w:rsidRPr="009957DA">
        <w:rPr>
          <w:sz w:val="24"/>
          <w:szCs w:val="24"/>
        </w:rPr>
        <w:t xml:space="preserve">приёма </w:t>
      </w:r>
      <w:r w:rsidR="002B4ED8" w:rsidRPr="009957DA">
        <w:rPr>
          <w:sz w:val="24"/>
          <w:szCs w:val="24"/>
        </w:rPr>
        <w:t xml:space="preserve"> предложений</w:t>
      </w:r>
      <w:proofErr w:type="gramEnd"/>
      <w:r w:rsidR="002B4ED8" w:rsidRPr="009957DA">
        <w:rPr>
          <w:sz w:val="24"/>
          <w:szCs w:val="24"/>
        </w:rPr>
        <w:t xml:space="preserve">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14:paraId="75972925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14:paraId="43127A29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14:paraId="36E54B57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14:paraId="15881748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14:paraId="20F1F45C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14:paraId="7D3820AB" w14:textId="77777777"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14:paraId="6D4A499D" w14:textId="77777777"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14:paraId="55F6F1DD" w14:textId="77777777"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14:paraId="7DA97F6D" w14:textId="77777777"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14:paraId="6A8A7820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14:paraId="5D2F4375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14:paraId="793BC58E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14:paraId="0516C190" w14:textId="77777777"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14:paraId="550C7738" w14:textId="77777777"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14:paraId="5A468B3D" w14:textId="77777777"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14:paraId="5F589294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14:paraId="63FC156D" w14:textId="77777777"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14:paraId="58CED262" w14:textId="77777777"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14:paraId="1169E700" w14:textId="77777777"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14:paraId="26CFA5F8" w14:textId="77777777"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14:paraId="071EF310" w14:textId="77777777"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14:paraId="495F69BB" w14:textId="77777777"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C67F842" w14:textId="77777777"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14:paraId="6BABE732" w14:textId="77777777"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0B79DF">
        <w:rPr>
          <w:sz w:val="18"/>
          <w:szCs w:val="18"/>
        </w:rPr>
        <w:t xml:space="preserve">приказом </w:t>
      </w:r>
      <w:proofErr w:type="spellStart"/>
      <w:r w:rsidR="000B79DF">
        <w:rPr>
          <w:sz w:val="18"/>
          <w:szCs w:val="18"/>
        </w:rPr>
        <w:t>и.о</w:t>
      </w:r>
      <w:proofErr w:type="spellEnd"/>
      <w:r w:rsidR="000B79DF">
        <w:rPr>
          <w:sz w:val="18"/>
          <w:szCs w:val="18"/>
        </w:rPr>
        <w:t>. Генерального директора</w:t>
      </w:r>
      <w:r w:rsidR="00927ED3" w:rsidRPr="002F1654">
        <w:rPr>
          <w:sz w:val="18"/>
          <w:szCs w:val="18"/>
        </w:rPr>
        <w:t xml:space="preserve"> </w:t>
      </w:r>
    </w:p>
    <w:p w14:paraId="3CD166AB" w14:textId="77777777"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485C918D" w14:textId="77777777"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2248A97D" w14:textId="77777777"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14:paraId="589ADD07" w14:textId="0982135E" w:rsidR="00927ED3" w:rsidRDefault="007B60DA" w:rsidP="00021ABE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928D3">
        <w:rPr>
          <w:sz w:val="18"/>
          <w:szCs w:val="18"/>
        </w:rPr>
        <w:t>04</w:t>
      </w:r>
      <w:r w:rsidRPr="007B60DA">
        <w:rPr>
          <w:sz w:val="18"/>
          <w:szCs w:val="18"/>
        </w:rPr>
        <w:t xml:space="preserve">» </w:t>
      </w:r>
      <w:r w:rsidR="007928D3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201</w:t>
      </w:r>
      <w:r w:rsidR="00A7161E"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 г.</w:t>
      </w:r>
    </w:p>
    <w:p w14:paraId="481E2D5C" w14:textId="77777777" w:rsidR="00021ABE" w:rsidRPr="00927ED3" w:rsidRDefault="00021ABE" w:rsidP="00021ABE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48BEF7C4" w14:textId="77777777"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14:paraId="6133EFC5" w14:textId="77777777"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14:paraId="2082430B" w14:textId="77777777" w:rsidR="00677E24" w:rsidRPr="00286E5F" w:rsidRDefault="00677E24" w:rsidP="00677E2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>
        <w:rPr>
          <w:sz w:val="24"/>
          <w:szCs w:val="24"/>
        </w:rPr>
        <w:t>)</w:t>
      </w:r>
      <w:r w:rsidRPr="00267361">
        <w:rPr>
          <w:sz w:val="24"/>
          <w:szCs w:val="24"/>
        </w:rPr>
        <w:t xml:space="preserve"> (далее – Фонд) извещает о проведении </w:t>
      </w:r>
      <w:r w:rsidR="001D22A4"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536DC43C" w14:textId="77777777" w:rsidR="007928D3" w:rsidRPr="00ED6978" w:rsidRDefault="007928D3" w:rsidP="007928D3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№1: 45 750 000 (Сорок пять миллионов семьсот пятьдесят тысяч) рублей;</w:t>
      </w:r>
    </w:p>
    <w:p w14:paraId="350E159A" w14:textId="77777777" w:rsidR="007928D3" w:rsidRPr="00ED6978" w:rsidRDefault="007928D3" w:rsidP="007928D3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№2: 25 000 000 (Двадцать пять миллионов) рублей;</w:t>
      </w:r>
    </w:p>
    <w:p w14:paraId="785F8CAF" w14:textId="77777777" w:rsidR="007928D3" w:rsidRPr="00ED6978" w:rsidRDefault="007928D3" w:rsidP="007928D3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№3: 23 000 000 (Двадцать три миллиона) рублей;</w:t>
      </w:r>
    </w:p>
    <w:p w14:paraId="2BB6101D" w14:textId="77777777" w:rsidR="007928D3" w:rsidRDefault="007928D3" w:rsidP="007928D3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№4: 15 196 000 (</w:t>
      </w:r>
      <w:r w:rsidRPr="000862AE">
        <w:rPr>
          <w:bCs/>
          <w:sz w:val="24"/>
          <w:szCs w:val="24"/>
        </w:rPr>
        <w:t>Пятнадцать миллионов сто девяносто шесть тысяч</w:t>
      </w:r>
      <w:r w:rsidRPr="00ED6978">
        <w:rPr>
          <w:sz w:val="24"/>
          <w:szCs w:val="24"/>
        </w:rPr>
        <w:t>) рублей.</w:t>
      </w:r>
    </w:p>
    <w:p w14:paraId="09347300" w14:textId="03CF487D" w:rsidR="00A7161E" w:rsidRPr="00B9161E" w:rsidRDefault="000B79DF" w:rsidP="007928D3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8C47B0">
        <w:rPr>
          <w:bCs/>
          <w:sz w:val="24"/>
          <w:szCs w:val="24"/>
        </w:rPr>
        <w:t>1</w:t>
      </w:r>
      <w:r w:rsidR="007928D3">
        <w:rPr>
          <w:bCs/>
          <w:sz w:val="24"/>
          <w:szCs w:val="24"/>
        </w:rPr>
        <w:t>45</w:t>
      </w:r>
      <w:r w:rsidRPr="008C47B0">
        <w:rPr>
          <w:bCs/>
          <w:sz w:val="24"/>
          <w:szCs w:val="24"/>
        </w:rPr>
        <w:t xml:space="preserve"> (Сто </w:t>
      </w:r>
      <w:r w:rsidR="007928D3">
        <w:rPr>
          <w:bCs/>
          <w:sz w:val="24"/>
          <w:szCs w:val="24"/>
        </w:rPr>
        <w:t>сорок пять</w:t>
      </w:r>
      <w:r w:rsidRPr="008C47B0">
        <w:rPr>
          <w:bCs/>
          <w:sz w:val="24"/>
          <w:szCs w:val="24"/>
        </w:rPr>
        <w:t>) день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3C2C803F" w14:textId="77777777" w:rsidR="00A7161E" w:rsidRPr="00B9161E" w:rsidRDefault="00A7161E" w:rsidP="00A7161E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1240C20A" w14:textId="5781F70F" w:rsidR="000B79DF" w:rsidRPr="00B9161E" w:rsidRDefault="000B79DF" w:rsidP="000B79D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7928D3">
        <w:rPr>
          <w:sz w:val="24"/>
          <w:szCs w:val="24"/>
        </w:rPr>
        <w:t>18</w:t>
      </w:r>
      <w:r w:rsidRPr="00B9161E">
        <w:rPr>
          <w:sz w:val="24"/>
          <w:szCs w:val="24"/>
        </w:rPr>
        <w:t>»</w:t>
      </w:r>
      <w:r w:rsidR="007928D3">
        <w:rPr>
          <w:sz w:val="24"/>
          <w:szCs w:val="24"/>
        </w:rPr>
        <w:t xml:space="preserve"> 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5960A23E" w14:textId="7360679F" w:rsidR="000B79DF" w:rsidRPr="00B9161E" w:rsidRDefault="000B79DF" w:rsidP="000B79DF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7928D3">
        <w:rPr>
          <w:sz w:val="24"/>
          <w:szCs w:val="24"/>
        </w:rPr>
        <w:t>04</w:t>
      </w:r>
      <w:r w:rsidRPr="00B9161E">
        <w:rPr>
          <w:sz w:val="24"/>
          <w:szCs w:val="24"/>
        </w:rPr>
        <w:t xml:space="preserve">» </w:t>
      </w:r>
      <w:r w:rsidR="007928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</w:t>
      </w:r>
      <w:r w:rsidR="007928D3"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» </w:t>
      </w:r>
      <w:r w:rsidR="007928D3"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B3D0F98" w14:textId="7D01CB9C" w:rsidR="000B79DF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7928D3"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 w:rsidR="007928D3"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208C29B7" w14:textId="77777777" w:rsidR="00E657F9" w:rsidRPr="009957DA" w:rsidRDefault="00DD5D76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3C290FBF" w14:textId="77777777" w:rsidR="000B79DF" w:rsidRPr="009957DA" w:rsidRDefault="000B79DF" w:rsidP="000B79D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генерального директора Фонда Салюков Ян Александрович</w:t>
      </w:r>
      <w:r w:rsidRPr="009957DA">
        <w:rPr>
          <w:sz w:val="24"/>
          <w:szCs w:val="24"/>
        </w:rPr>
        <w:t>.</w:t>
      </w:r>
    </w:p>
    <w:p w14:paraId="0E4DEA0E" w14:textId="77777777" w:rsidR="000B79DF" w:rsidRDefault="000B79DF" w:rsidP="000B79DF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5E18E27E" w14:textId="77777777" w:rsidR="007A596D" w:rsidRPr="00993353" w:rsidRDefault="007A596D" w:rsidP="00133BF2">
      <w:pPr>
        <w:overflowPunct/>
        <w:ind w:firstLine="709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14:paraId="7BB5D995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0A6912DB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C051A6C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AD38A4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06CDF78" w14:textId="77777777"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BC5ED69" w14:textId="77777777" w:rsidR="00A7161E" w:rsidRDefault="00A7161E" w:rsidP="00E61BD6">
      <w:pPr>
        <w:tabs>
          <w:tab w:val="left" w:pos="-5103"/>
        </w:tabs>
        <w:rPr>
          <w:sz w:val="18"/>
          <w:szCs w:val="18"/>
        </w:rPr>
      </w:pPr>
    </w:p>
    <w:p w14:paraId="7331C7C8" w14:textId="77777777" w:rsidR="00E61BD6" w:rsidRDefault="00E61BD6" w:rsidP="00E61BD6">
      <w:pPr>
        <w:tabs>
          <w:tab w:val="left" w:pos="-5103"/>
        </w:tabs>
        <w:rPr>
          <w:sz w:val="18"/>
          <w:szCs w:val="18"/>
        </w:rPr>
      </w:pPr>
    </w:p>
    <w:p w14:paraId="57CA4090" w14:textId="48ED0A4B" w:rsidR="00A7161E" w:rsidRDefault="00A7161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8B0CB5E" w14:textId="4176B31C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1C20A79" w14:textId="0C187A82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22089B3" w14:textId="554F5289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F1E3D67" w14:textId="262682AB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E6FA354" w14:textId="0BD992C1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4DFA34C" w14:textId="02886265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533709E" w14:textId="61743285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C2EFFC" w14:textId="6E7D5DF3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A8A3773" w14:textId="037E2081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8B1B3A8" w14:textId="7445EFBF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A0B69AC" w14:textId="77777777" w:rsidR="007928D3" w:rsidRDefault="007928D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51BA65D" w14:textId="77777777"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14:paraId="10C9ED4B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2DA10FD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16EA8547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3E07AF2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47D7A4D7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36DBA9FE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24153F9B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5E35D7FA" w14:textId="51E9A0DC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928D3">
        <w:rPr>
          <w:sz w:val="18"/>
          <w:szCs w:val="18"/>
        </w:rPr>
        <w:t>04</w:t>
      </w:r>
      <w:r w:rsidRPr="007B60DA">
        <w:rPr>
          <w:sz w:val="18"/>
          <w:szCs w:val="18"/>
        </w:rPr>
        <w:t xml:space="preserve">» </w:t>
      </w:r>
      <w:r w:rsidR="007928D3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 г.</w:t>
      </w:r>
    </w:p>
    <w:p w14:paraId="52AB7446" w14:textId="77777777"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14:paraId="16989532" w14:textId="77777777"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76A06AFD" w14:textId="77777777"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14:paraId="03356539" w14:textId="77777777"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14:paraId="3278F22E" w14:textId="77777777"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14:paraId="64EFAA93" w14:textId="77777777"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14:paraId="596FAE68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14:paraId="2C829FED" w14:textId="77777777"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</w:t>
      </w:r>
      <w:proofErr w:type="gramStart"/>
      <w:r w:rsidRPr="009957DA">
        <w:rPr>
          <w:sz w:val="18"/>
          <w:szCs w:val="18"/>
        </w:rPr>
        <w:t>,  должность</w:t>
      </w:r>
      <w:proofErr w:type="gramEnd"/>
      <w:r w:rsidRPr="009957DA">
        <w:rPr>
          <w:sz w:val="18"/>
          <w:szCs w:val="18"/>
        </w:rPr>
        <w:t xml:space="preserve"> руководителя,  подписавшего заявку)</w:t>
      </w:r>
    </w:p>
    <w:p w14:paraId="2A3E2044" w14:textId="77777777"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14:paraId="2C688A06" w14:textId="77777777"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14:paraId="4183E04C" w14:textId="77777777"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14:paraId="7B408E76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14:paraId="76A63050" w14:textId="77777777"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14:paraId="6098592F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14:paraId="4FA23E1C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14:paraId="1E359071" w14:textId="77777777"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14:paraId="07F2F17B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14:paraId="0E26B887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3"/>
      </w:r>
      <w:r w:rsidRPr="009957DA">
        <w:rPr>
          <w:sz w:val="24"/>
          <w:szCs w:val="24"/>
        </w:rPr>
        <w:t xml:space="preserve">; </w:t>
      </w:r>
    </w:p>
    <w:p w14:paraId="7E81D966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14:paraId="567E0D66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14:paraId="3CD4D8E6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14:paraId="4C91B709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</w:t>
      </w:r>
      <w:r w:rsidRPr="00CD6EED">
        <w:rPr>
          <w:sz w:val="24"/>
          <w:szCs w:val="24"/>
        </w:rPr>
        <w:lastRenderedPageBreak/>
        <w:t>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14:paraId="0D27B90D" w14:textId="77777777" w:rsidR="00CD6EED" w:rsidRPr="007221D6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1C71F5">
        <w:rPr>
          <w:bCs/>
          <w:sz w:val="24"/>
          <w:szCs w:val="24"/>
        </w:rPr>
        <w:t xml:space="preserve">Инструкция Банка России от 28.06.2017 N 180-И </w:t>
      </w:r>
      <w:r w:rsidRPr="007221D6">
        <w:rPr>
          <w:bCs/>
          <w:sz w:val="24"/>
          <w:szCs w:val="24"/>
        </w:rPr>
        <w:t>(</w:t>
      </w:r>
      <w:r w:rsidR="007221D6" w:rsidRPr="007221D6">
        <w:rPr>
          <w:bCs/>
          <w:sz w:val="24"/>
          <w:szCs w:val="24"/>
        </w:rPr>
        <w:t>ред. от 26.07.2018</w:t>
      </w:r>
      <w:r w:rsidRPr="007221D6">
        <w:rPr>
          <w:bCs/>
          <w:sz w:val="24"/>
          <w:szCs w:val="24"/>
        </w:rPr>
        <w:t xml:space="preserve">) </w:t>
      </w:r>
      <w:r w:rsidRPr="007221D6">
        <w:rPr>
          <w:sz w:val="24"/>
          <w:szCs w:val="24"/>
        </w:rPr>
        <w:t>"Об обязательных нормативах банков";</w:t>
      </w:r>
    </w:p>
    <w:p w14:paraId="47F2E6F6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="007221D6"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>
        <w:rPr>
          <w:sz w:val="24"/>
          <w:szCs w:val="24"/>
        </w:rPr>
        <w:t>О</w:t>
      </w:r>
      <w:r w:rsidRPr="00AB3DF1">
        <w:rPr>
          <w:sz w:val="24"/>
          <w:szCs w:val="24"/>
        </w:rPr>
        <w:t>б обязательных нормативах банков"</w:t>
      </w:r>
      <w:r w:rsidRPr="009957DA">
        <w:rPr>
          <w:sz w:val="24"/>
          <w:szCs w:val="24"/>
        </w:rPr>
        <w:t>;</w:t>
      </w:r>
    </w:p>
    <w:p w14:paraId="4C9350E5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="007221D6"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 w:rsidRPr="001C71F5">
        <w:rPr>
          <w:sz w:val="24"/>
          <w:szCs w:val="24"/>
        </w:rPr>
        <w:t>Об обязательных нормативах банков</w:t>
      </w:r>
      <w:r w:rsidRPr="00AB3DF1">
        <w:rPr>
          <w:sz w:val="24"/>
          <w:szCs w:val="24"/>
        </w:rPr>
        <w:t>"</w:t>
      </w:r>
      <w:r w:rsidRPr="009957DA">
        <w:rPr>
          <w:sz w:val="24"/>
          <w:szCs w:val="24"/>
        </w:rPr>
        <w:t>;</w:t>
      </w:r>
    </w:p>
    <w:p w14:paraId="4A933FC0" w14:textId="77777777"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14:paraId="0E018B6F" w14:textId="77777777" w:rsidR="00CD6EED" w:rsidRPr="007221D6" w:rsidRDefault="00CD6EED" w:rsidP="007221D6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"Положение</w:t>
      </w:r>
      <w:r>
        <w:rPr>
          <w:sz w:val="24"/>
          <w:szCs w:val="24"/>
        </w:rPr>
        <w:t>м</w:t>
      </w:r>
      <w:r w:rsidRPr="00966994">
        <w:rPr>
          <w:sz w:val="24"/>
          <w:szCs w:val="24"/>
        </w:rPr>
        <w:t xml:space="preserve"> о Плане счетов бухгалтерского учета для кредитных организаций и порядке его применения"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="007221D6" w:rsidRPr="007221D6">
        <w:rPr>
          <w:bCs/>
          <w:sz w:val="24"/>
          <w:szCs w:val="24"/>
        </w:rPr>
        <w:t>ред. от 15.02.2018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14:paraId="6C4EDD44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14:paraId="288B5F88" w14:textId="77777777"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14:paraId="05DCB88E" w14:textId="77777777" w:rsidR="00CD6EED" w:rsidRDefault="00CD6EED" w:rsidP="00EA25A2">
      <w:pPr>
        <w:overflowPunct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 (</w:t>
      </w:r>
      <w:r w:rsidR="00EA25A2">
        <w:rPr>
          <w:sz w:val="24"/>
          <w:szCs w:val="24"/>
        </w:rPr>
        <w:t>ред. от 01.07.2018</w:t>
      </w:r>
      <w:r w:rsidRPr="0054176A">
        <w:rPr>
          <w:sz w:val="24"/>
          <w:szCs w:val="24"/>
        </w:rPr>
        <w:t>);</w:t>
      </w:r>
    </w:p>
    <w:p w14:paraId="7FA0D262" w14:textId="3C791815" w:rsidR="000C528B" w:rsidRPr="000C528B" w:rsidRDefault="000C528B" w:rsidP="000C528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 xml:space="preserve">- 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993353">
        <w:rPr>
          <w:sz w:val="24"/>
          <w:szCs w:val="24"/>
        </w:rPr>
        <w:t xml:space="preserve">не менее </w:t>
      </w:r>
      <w:r w:rsidR="007A3C67">
        <w:rPr>
          <w:sz w:val="24"/>
          <w:szCs w:val="24"/>
        </w:rPr>
        <w:t>5</w:t>
      </w:r>
      <w:r w:rsidR="00993353">
        <w:rPr>
          <w:sz w:val="24"/>
          <w:szCs w:val="24"/>
        </w:rPr>
        <w:t xml:space="preserve"> (</w:t>
      </w:r>
      <w:r w:rsidR="007A3C67">
        <w:rPr>
          <w:sz w:val="24"/>
          <w:szCs w:val="24"/>
        </w:rPr>
        <w:t>Пяти</w:t>
      </w:r>
      <w:r w:rsidR="00993353">
        <w:rPr>
          <w:sz w:val="24"/>
          <w:szCs w:val="24"/>
        </w:rPr>
        <w:t xml:space="preserve">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</w:t>
      </w:r>
      <w:r w:rsidR="00FC33D4" w:rsidRPr="000C528B">
        <w:rPr>
          <w:sz w:val="24"/>
          <w:szCs w:val="24"/>
        </w:rPr>
        <w:t xml:space="preserve">поручительством организатора </w:t>
      </w:r>
      <w:r w:rsidR="00FC708E">
        <w:rPr>
          <w:sz w:val="24"/>
          <w:szCs w:val="24"/>
        </w:rPr>
        <w:t>отбора</w:t>
      </w:r>
      <w:r w:rsidR="00FC33D4" w:rsidRPr="000C528B">
        <w:rPr>
          <w:sz w:val="24"/>
          <w:szCs w:val="24"/>
        </w:rPr>
        <w:t>,</w:t>
      </w:r>
      <w:r w:rsidRPr="000C528B">
        <w:rPr>
          <w:sz w:val="24"/>
          <w:szCs w:val="24"/>
        </w:rPr>
        <w:t xml:space="preserve">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14:paraId="57B3FFA6" w14:textId="77777777" w:rsidR="00B17082" w:rsidRPr="00EE42CF" w:rsidRDefault="00CD6EED" w:rsidP="000C528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0C528B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14:paraId="2F635B7F" w14:textId="77777777"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Pr="009A3E27">
        <w:rPr>
          <w:sz w:val="24"/>
          <w:szCs w:val="24"/>
        </w:rPr>
        <w:t>Указание Банка России от 24.11.2016 N 4212-У (ред. от 06.12.2017) "О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Pr="009957DA">
        <w:rPr>
          <w:sz w:val="24"/>
          <w:szCs w:val="24"/>
        </w:rPr>
        <w:t xml:space="preserve"> (формы отчетности 0409101, 0409135).</w:t>
      </w:r>
    </w:p>
    <w:p w14:paraId="11B9E8F6" w14:textId="77777777" w:rsidR="00FE0714" w:rsidRPr="009957DA" w:rsidRDefault="00510720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0409135)</w:t>
      </w:r>
      <w:r>
        <w:rPr>
          <w:sz w:val="24"/>
          <w:szCs w:val="24"/>
        </w:rPr>
        <w:t xml:space="preserve"> (за исключением буллита 4 п.3.1, соблюдение устанавливается на дату проведения отбора)</w:t>
      </w:r>
      <w:r w:rsidR="000F1066" w:rsidRPr="009957DA">
        <w:rPr>
          <w:sz w:val="24"/>
          <w:szCs w:val="24"/>
        </w:rPr>
        <w:t>.</w:t>
      </w:r>
    </w:p>
    <w:p w14:paraId="242AE655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14:paraId="1CD310DD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14:paraId="683ABAC9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301C9C51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14:paraId="54A5AD76" w14:textId="77777777"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14:paraId="72FC6021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14:paraId="5700D124" w14:textId="77777777"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14:paraId="5564355B" w14:textId="77777777"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14:paraId="005FD7C1" w14:textId="77777777"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14:paraId="77E4A59B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19B228B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62D1C56E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49006F2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46740A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8288FED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57264C97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7355205C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3C74BA8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2FAE249A" w14:textId="77777777"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14:paraId="46BF071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980648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D9CB6EE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0228AEC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8385DF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57AC671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21BCFD8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0014F7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51377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FCA589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0B4C1D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7E198C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DA6D6A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4862A8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A1B2130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0DD51099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1EA6F1C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9B5617B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E69A37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5B2039F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2941C55A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B3CD85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843BEB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F784A2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7A8301D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A4AACA3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DCDDCD4" w14:textId="77777777"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D9D9544" w14:textId="77777777"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14:paraId="51745341" w14:textId="77777777"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14:paraId="76AAC0B2" w14:textId="77777777" w:rsidR="0071656F" w:rsidRDefault="0071656F" w:rsidP="000F1066">
      <w:pPr>
        <w:tabs>
          <w:tab w:val="left" w:pos="-5103"/>
        </w:tabs>
        <w:rPr>
          <w:sz w:val="18"/>
          <w:szCs w:val="18"/>
        </w:rPr>
      </w:pPr>
    </w:p>
    <w:p w14:paraId="0FAF75F0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594C22AC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58DAF9F3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63B3B478" w14:textId="77777777"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14:paraId="001F4D98" w14:textId="77777777"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4BF06635" w14:textId="77777777"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08DDC9D" w14:textId="77777777"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3D5567B3" w14:textId="77777777"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107810C0" w14:textId="77777777"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69275D9B" w14:textId="77777777" w:rsidR="003B2BC1" w:rsidRDefault="003B2BC1" w:rsidP="00E61BD6">
      <w:pPr>
        <w:tabs>
          <w:tab w:val="left" w:pos="-5103"/>
        </w:tabs>
        <w:rPr>
          <w:sz w:val="18"/>
          <w:szCs w:val="18"/>
        </w:rPr>
      </w:pPr>
    </w:p>
    <w:p w14:paraId="263EE491" w14:textId="77777777" w:rsidR="00E61BD6" w:rsidRDefault="00E61BD6" w:rsidP="00E61BD6">
      <w:pPr>
        <w:tabs>
          <w:tab w:val="left" w:pos="-5103"/>
        </w:tabs>
        <w:rPr>
          <w:sz w:val="18"/>
          <w:szCs w:val="18"/>
        </w:rPr>
      </w:pPr>
    </w:p>
    <w:p w14:paraId="55D35FAC" w14:textId="77777777" w:rsidR="00993353" w:rsidRDefault="00993353" w:rsidP="00510720">
      <w:pPr>
        <w:tabs>
          <w:tab w:val="left" w:pos="-5103"/>
        </w:tabs>
        <w:rPr>
          <w:sz w:val="18"/>
          <w:szCs w:val="18"/>
        </w:rPr>
      </w:pPr>
    </w:p>
    <w:p w14:paraId="290A30E3" w14:textId="77777777"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14:paraId="0702416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7C946E40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655678EC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169D053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1369CAC9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5C953132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628D437F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60635466" w14:textId="23DCB2BE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928D3">
        <w:rPr>
          <w:sz w:val="18"/>
          <w:szCs w:val="18"/>
        </w:rPr>
        <w:t>04</w:t>
      </w:r>
      <w:r w:rsidRPr="007B60DA">
        <w:rPr>
          <w:sz w:val="18"/>
          <w:szCs w:val="18"/>
        </w:rPr>
        <w:t xml:space="preserve">» </w:t>
      </w:r>
      <w:r w:rsidR="007928D3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 г.</w:t>
      </w:r>
    </w:p>
    <w:p w14:paraId="5DA9B128" w14:textId="77777777"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51FE3F25" w14:textId="77777777"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14:paraId="21C952B3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14:paraId="437651DA" w14:textId="77777777"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14:paraId="2D2EF435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7D5B7130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14:paraId="381239C5" w14:textId="77777777"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2E3F13CF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14:paraId="44E7AC7D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14:paraId="06D10B69" w14:textId="77777777"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1.3. Коммерческое предложение оформляется на русском языке, шрифтом </w:t>
      </w:r>
      <w:proofErr w:type="spellStart"/>
      <w:r w:rsidRPr="009957DA">
        <w:rPr>
          <w:sz w:val="24"/>
          <w:szCs w:val="24"/>
        </w:rPr>
        <w:t>Times</w:t>
      </w:r>
      <w:proofErr w:type="spellEnd"/>
      <w:r w:rsidRPr="009957DA">
        <w:rPr>
          <w:sz w:val="24"/>
          <w:szCs w:val="24"/>
        </w:rPr>
        <w:t xml:space="preserve"> </w:t>
      </w:r>
      <w:proofErr w:type="spellStart"/>
      <w:r w:rsidRPr="009957DA">
        <w:rPr>
          <w:sz w:val="24"/>
          <w:szCs w:val="24"/>
        </w:rPr>
        <w:t>New</w:t>
      </w:r>
      <w:proofErr w:type="spellEnd"/>
      <w:r w:rsidRPr="009957DA">
        <w:rPr>
          <w:sz w:val="24"/>
          <w:szCs w:val="24"/>
        </w:rPr>
        <w:t xml:space="preserve"> Roman или </w:t>
      </w:r>
      <w:proofErr w:type="spellStart"/>
      <w:r w:rsidRPr="009957DA">
        <w:rPr>
          <w:sz w:val="24"/>
          <w:szCs w:val="24"/>
        </w:rPr>
        <w:t>Arial</w:t>
      </w:r>
      <w:proofErr w:type="spellEnd"/>
      <w:r w:rsidRPr="009957DA">
        <w:rPr>
          <w:sz w:val="24"/>
          <w:szCs w:val="24"/>
        </w:rPr>
        <w:t xml:space="preserve"> размером не менее 12 пт. с однострочным интервалом.</w:t>
      </w:r>
    </w:p>
    <w:p w14:paraId="1CAF6003" w14:textId="77777777"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14:paraId="0F0314A8" w14:textId="77777777"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14:paraId="043C220A" w14:textId="77777777" w:rsidR="00977AAA" w:rsidRPr="00365F4B" w:rsidRDefault="00977AAA" w:rsidP="00365F4B"/>
    <w:p w14:paraId="11F2852B" w14:textId="77777777"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14:paraId="1FEB8A8E" w14:textId="77777777"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14:paraId="2A2F2B73" w14:textId="77777777"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</w:t>
      </w:r>
      <w:proofErr w:type="gramStart"/>
      <w:r w:rsidR="00B71730" w:rsidRPr="009957DA">
        <w:rPr>
          <w:sz w:val="24"/>
          <w:szCs w:val="24"/>
        </w:rPr>
        <w:t>о</w:t>
      </w:r>
      <w:r w:rsidR="00907654" w:rsidRPr="009957DA">
        <w:rPr>
          <w:sz w:val="24"/>
          <w:szCs w:val="24"/>
        </w:rPr>
        <w:t xml:space="preserve">рганизации, </w:t>
      </w:r>
      <w:r w:rsidR="00B71730" w:rsidRPr="009957DA">
        <w:rPr>
          <w:sz w:val="24"/>
          <w:szCs w:val="24"/>
        </w:rPr>
        <w:t xml:space="preserve"> виды</w:t>
      </w:r>
      <w:proofErr w:type="gramEnd"/>
      <w:r w:rsidR="00B71730" w:rsidRPr="009957DA">
        <w:rPr>
          <w:sz w:val="24"/>
          <w:szCs w:val="24"/>
        </w:rPr>
        <w:t xml:space="preserve">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14:paraId="6EA2A7A7" w14:textId="77777777"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14:paraId="71069971" w14:textId="77777777"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14:paraId="253973EC" w14:textId="77777777"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14:paraId="2820DF8E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102D149E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2C7CB68F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47745887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5574FEF2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046563D5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40B394A8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445AC64D" w14:textId="09CDF3E1" w:rsidR="00B17082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7928D3">
        <w:rPr>
          <w:sz w:val="18"/>
          <w:szCs w:val="18"/>
        </w:rPr>
        <w:t>04</w:t>
      </w:r>
      <w:r w:rsidRPr="007B60DA">
        <w:rPr>
          <w:sz w:val="18"/>
          <w:szCs w:val="18"/>
        </w:rPr>
        <w:t xml:space="preserve">» </w:t>
      </w:r>
      <w:r w:rsidR="007928D3">
        <w:rPr>
          <w:sz w:val="18"/>
          <w:szCs w:val="18"/>
        </w:rPr>
        <w:t>декабря</w:t>
      </w:r>
      <w:r w:rsidRPr="007B60DA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 г.</w:t>
      </w:r>
    </w:p>
    <w:p w14:paraId="69764692" w14:textId="77777777"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14:paraId="797E3DA1" w14:textId="77777777" w:rsidR="003D575C" w:rsidRDefault="003D575C" w:rsidP="002F1654">
      <w:pPr>
        <w:tabs>
          <w:tab w:val="left" w:pos="-5103"/>
        </w:tabs>
        <w:jc w:val="center"/>
        <w:rPr>
          <w:b/>
        </w:rPr>
      </w:pPr>
    </w:p>
    <w:p w14:paraId="7B0F4D95" w14:textId="77777777"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14:paraId="15205653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14:paraId="149C781C" w14:textId="77777777"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14:paraId="4AA1E893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885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87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14:paraId="7F618F4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2CD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AF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14:paraId="61B036E9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838B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 xml:space="preserve">Наличие положительного аудиторского заключения по итогам работы за предыдущий год, а также </w:t>
            </w:r>
            <w:proofErr w:type="spellStart"/>
            <w:r w:rsidRPr="00AA4CD7">
              <w:rPr>
                <w:sz w:val="20"/>
              </w:rPr>
              <w:t>аудированной</w:t>
            </w:r>
            <w:proofErr w:type="spellEnd"/>
            <w:r w:rsidRPr="00AA4CD7">
              <w:rPr>
                <w:sz w:val="20"/>
              </w:rPr>
              <w:t xml:space="preserve">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4E07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9CE1AB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76B7" w14:textId="77777777"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1DC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7A67F24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9EC5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BF9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C28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100F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14:paraId="516D0FE7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7E0A" w14:textId="77777777"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FD0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F21F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DA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14:paraId="3DD5943A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FB04" w14:textId="77777777"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AA16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DB77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5D64" w14:textId="77777777"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510720" w:rsidRPr="00AA4CD7" w14:paraId="429E31D6" w14:textId="77777777" w:rsidTr="0098507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592D" w14:textId="77777777" w:rsidR="00510720" w:rsidRPr="00AA4CD7" w:rsidRDefault="00510720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E099" w14:textId="77777777" w:rsidR="00510720" w:rsidRPr="00AA4CD7" w:rsidRDefault="00510720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5A817FC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B9EE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BB79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ECE6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E22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28727C3D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F745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B89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ED8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B6EE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3115FDD2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F757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B3DF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681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6B1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28A5472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234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1BCA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CD8D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8AC4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69E7BC4F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920C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Доля негосударственных ценных бумаг, взвешенных по уровню риска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DC12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090C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2E713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0829931E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1EED" w14:textId="77777777"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7072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14:paraId="3BB05F06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A73D" w14:textId="77777777"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919F" w14:textId="77777777"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14:paraId="6EEBCC92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2FFC" w14:textId="6AD18834"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</w:t>
            </w:r>
            <w:r w:rsidR="007928D3">
              <w:rPr>
                <w:sz w:val="20"/>
              </w:rPr>
              <w:t>5</w:t>
            </w:r>
            <w:r w:rsidRPr="00EF5147">
              <w:rPr>
                <w:sz w:val="20"/>
              </w:rPr>
              <w:t xml:space="preserve">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C956" w14:textId="77777777"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14:paraId="5FBC9428" w14:textId="7777777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DF45" w14:textId="77777777"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3901" w14:textId="77777777"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14:paraId="608CB698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1145DB4F" w14:textId="77777777"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14:paraId="3FFB235E" w14:textId="77777777" w:rsidR="008C4162" w:rsidRDefault="008C4162" w:rsidP="00EA25A2">
      <w:pPr>
        <w:tabs>
          <w:tab w:val="left" w:pos="-5103"/>
        </w:tabs>
        <w:rPr>
          <w:sz w:val="24"/>
          <w:szCs w:val="24"/>
        </w:rPr>
      </w:pPr>
    </w:p>
    <w:p w14:paraId="2088936F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328CCB56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5E617D0E" w14:textId="77777777"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14:paraId="5D07619E" w14:textId="77777777"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r w:rsidRPr="009957DA">
        <w:rPr>
          <w:sz w:val="18"/>
          <w:szCs w:val="18"/>
        </w:rPr>
        <w:t>Приложение № 5</w:t>
      </w:r>
    </w:p>
    <w:p w14:paraId="7F38DAF0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14:paraId="433422A5" w14:textId="77777777"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14:paraId="4221FEB7" w14:textId="77777777"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14:paraId="2D35861A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</w:t>
      </w:r>
      <w:r>
        <w:rPr>
          <w:sz w:val="18"/>
          <w:szCs w:val="18"/>
        </w:rPr>
        <w:t xml:space="preserve">приказом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Генерального директора</w:t>
      </w:r>
      <w:r w:rsidRPr="002F1654">
        <w:rPr>
          <w:sz w:val="18"/>
          <w:szCs w:val="18"/>
        </w:rPr>
        <w:t xml:space="preserve"> </w:t>
      </w:r>
    </w:p>
    <w:p w14:paraId="79666231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14:paraId="67D1EE54" w14:textId="77777777" w:rsidR="00E61BD6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14:paraId="7BB10885" w14:textId="77777777" w:rsidR="00E61BD6" w:rsidRPr="002F1654" w:rsidRDefault="00E61BD6" w:rsidP="00E61BD6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14:paraId="51A0C7C2" w14:textId="77777777" w:rsidR="007755DA" w:rsidRPr="009957DA" w:rsidRDefault="00E61BD6" w:rsidP="00E61BD6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  <w:r w:rsidRPr="007B60DA">
        <w:rPr>
          <w:sz w:val="18"/>
          <w:szCs w:val="18"/>
        </w:rPr>
        <w:t>от «</w:t>
      </w:r>
      <w:r>
        <w:rPr>
          <w:sz w:val="18"/>
          <w:szCs w:val="18"/>
        </w:rPr>
        <w:t>10</w:t>
      </w:r>
      <w:r w:rsidRPr="007B60DA">
        <w:rPr>
          <w:sz w:val="18"/>
          <w:szCs w:val="18"/>
        </w:rPr>
        <w:t xml:space="preserve">» </w:t>
      </w:r>
      <w:r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7B60DA">
        <w:rPr>
          <w:sz w:val="18"/>
          <w:szCs w:val="18"/>
        </w:rPr>
        <w:t xml:space="preserve"> г.</w:t>
      </w:r>
    </w:p>
    <w:p w14:paraId="201C379E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58E6F94" w14:textId="77777777"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14:paraId="745B7008" w14:textId="77777777"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14:paraId="72E5D911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14:paraId="76C54C3F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14:paraId="0A0AFC75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14:paraId="6283D9D0" w14:textId="77777777"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14:paraId="7747DB13" w14:textId="77777777"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14:paraId="1AAC51EE" w14:textId="77777777"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14:paraId="5FCFCBD6" w14:textId="77777777"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14:paraId="41CBA94F" w14:textId="77777777"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021ABE">
      <w:headerReference w:type="even" r:id="rId10"/>
      <w:headerReference w:type="default" r:id="rId11"/>
      <w:pgSz w:w="11907" w:h="16840" w:code="9"/>
      <w:pgMar w:top="709" w:right="708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EBE9" w14:textId="77777777" w:rsidR="005125E1" w:rsidRDefault="005125E1">
      <w:r>
        <w:separator/>
      </w:r>
    </w:p>
  </w:endnote>
  <w:endnote w:type="continuationSeparator" w:id="0">
    <w:p w14:paraId="2EAB5BE9" w14:textId="77777777" w:rsidR="005125E1" w:rsidRDefault="005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DC78" w14:textId="77777777" w:rsidR="005125E1" w:rsidRDefault="005125E1">
      <w:r>
        <w:separator/>
      </w:r>
    </w:p>
  </w:footnote>
  <w:footnote w:type="continuationSeparator" w:id="0">
    <w:p w14:paraId="2BD19A4F" w14:textId="77777777" w:rsidR="005125E1" w:rsidRDefault="005125E1">
      <w:r>
        <w:continuationSeparator/>
      </w:r>
    </w:p>
  </w:footnote>
  <w:footnote w:id="1">
    <w:p w14:paraId="3CCD1008" w14:textId="77777777" w:rsidR="008F26C9" w:rsidRDefault="008F26C9" w:rsidP="008F26C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14:paraId="21ECE537" w14:textId="77777777"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3">
    <w:p w14:paraId="18222E73" w14:textId="77777777" w:rsidR="00CD6EED" w:rsidRDefault="00CD6EED" w:rsidP="00CD6EED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D38D" w14:textId="77777777"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C79F36" w14:textId="77777777"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E397" w14:textId="77777777"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14:paraId="158BFE49" w14:textId="77777777"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1ABE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7765C"/>
    <w:rsid w:val="0008043F"/>
    <w:rsid w:val="0008562E"/>
    <w:rsid w:val="00095346"/>
    <w:rsid w:val="00096662"/>
    <w:rsid w:val="000A1200"/>
    <w:rsid w:val="000A4F9E"/>
    <w:rsid w:val="000A5F1F"/>
    <w:rsid w:val="000A6987"/>
    <w:rsid w:val="000A72EA"/>
    <w:rsid w:val="000A7CEB"/>
    <w:rsid w:val="000B10D4"/>
    <w:rsid w:val="000B2F09"/>
    <w:rsid w:val="000B49CD"/>
    <w:rsid w:val="000B62BA"/>
    <w:rsid w:val="000B79DF"/>
    <w:rsid w:val="000C220D"/>
    <w:rsid w:val="000C528B"/>
    <w:rsid w:val="000D2915"/>
    <w:rsid w:val="000D2FD8"/>
    <w:rsid w:val="000D58F5"/>
    <w:rsid w:val="000D77FE"/>
    <w:rsid w:val="000D7F13"/>
    <w:rsid w:val="000E071D"/>
    <w:rsid w:val="000E339A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EB1"/>
    <w:rsid w:val="00445F16"/>
    <w:rsid w:val="004468CD"/>
    <w:rsid w:val="0046422D"/>
    <w:rsid w:val="00477B1B"/>
    <w:rsid w:val="00481B4F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D6B58"/>
    <w:rsid w:val="004E0311"/>
    <w:rsid w:val="004E6822"/>
    <w:rsid w:val="004F4D2C"/>
    <w:rsid w:val="004F7B2A"/>
    <w:rsid w:val="00501398"/>
    <w:rsid w:val="005038C4"/>
    <w:rsid w:val="00507390"/>
    <w:rsid w:val="00510720"/>
    <w:rsid w:val="005125E1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5A89"/>
    <w:rsid w:val="005607D1"/>
    <w:rsid w:val="00561982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1B0E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208C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28D3"/>
    <w:rsid w:val="00794DDA"/>
    <w:rsid w:val="0079774A"/>
    <w:rsid w:val="007A2D98"/>
    <w:rsid w:val="007A3C67"/>
    <w:rsid w:val="007A596D"/>
    <w:rsid w:val="007B44F7"/>
    <w:rsid w:val="007B535C"/>
    <w:rsid w:val="007B60DA"/>
    <w:rsid w:val="007C136E"/>
    <w:rsid w:val="007C2644"/>
    <w:rsid w:val="007D0139"/>
    <w:rsid w:val="007E2B01"/>
    <w:rsid w:val="007F20E4"/>
    <w:rsid w:val="007F549C"/>
    <w:rsid w:val="007F5BD3"/>
    <w:rsid w:val="00801CF0"/>
    <w:rsid w:val="00801D85"/>
    <w:rsid w:val="0080698B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075A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7161E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1C7"/>
    <w:rsid w:val="00B01729"/>
    <w:rsid w:val="00B03A19"/>
    <w:rsid w:val="00B05703"/>
    <w:rsid w:val="00B12A6C"/>
    <w:rsid w:val="00B15E47"/>
    <w:rsid w:val="00B16D4E"/>
    <w:rsid w:val="00B17082"/>
    <w:rsid w:val="00B204E8"/>
    <w:rsid w:val="00B20AF9"/>
    <w:rsid w:val="00B225A2"/>
    <w:rsid w:val="00B22E0B"/>
    <w:rsid w:val="00B240CF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83C0F"/>
    <w:rsid w:val="00B94AA9"/>
    <w:rsid w:val="00B97A7C"/>
    <w:rsid w:val="00BA20A8"/>
    <w:rsid w:val="00BA301D"/>
    <w:rsid w:val="00BA4A84"/>
    <w:rsid w:val="00BB0193"/>
    <w:rsid w:val="00BC5B88"/>
    <w:rsid w:val="00BC69B2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B0A"/>
    <w:rsid w:val="00C6171D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3511A"/>
    <w:rsid w:val="00E401ED"/>
    <w:rsid w:val="00E41E88"/>
    <w:rsid w:val="00E559D6"/>
    <w:rsid w:val="00E60174"/>
    <w:rsid w:val="00E61BD6"/>
    <w:rsid w:val="00E657F9"/>
    <w:rsid w:val="00E6604B"/>
    <w:rsid w:val="00E664D9"/>
    <w:rsid w:val="00E66B94"/>
    <w:rsid w:val="00E675D9"/>
    <w:rsid w:val="00E70E49"/>
    <w:rsid w:val="00E757CB"/>
    <w:rsid w:val="00E80752"/>
    <w:rsid w:val="00E8267C"/>
    <w:rsid w:val="00E83A7C"/>
    <w:rsid w:val="00E85AFF"/>
    <w:rsid w:val="00E86EA0"/>
    <w:rsid w:val="00E91869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47067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933CB0-250D-4DC3-8479-73EDE5B3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34174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2</cp:revision>
  <cp:lastPrinted>2017-09-07T08:19:00Z</cp:lastPrinted>
  <dcterms:created xsi:type="dcterms:W3CDTF">2019-12-04T07:18:00Z</dcterms:created>
  <dcterms:modified xsi:type="dcterms:W3CDTF">2019-12-04T07:18:00Z</dcterms:modified>
</cp:coreProperties>
</file>